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088EB" w14:textId="77777777" w:rsidR="00EA76F1" w:rsidRDefault="00EA76F1" w:rsidP="00EA76F1">
      <w:pPr>
        <w:pStyle w:val="Ttulo1"/>
        <w:spacing w:before="390" w:beforeAutospacing="0" w:after="390" w:afterAutospacing="0" w:line="450" w:lineRule="atLeast"/>
        <w:rPr>
          <w:rFonts w:ascii="Arial" w:hAnsi="Arial" w:cs="Arial"/>
          <w:caps/>
          <w:color w:val="000000"/>
          <w:spacing w:val="-30"/>
          <w:sz w:val="54"/>
          <w:szCs w:val="54"/>
        </w:rPr>
      </w:pPr>
      <w:bookmarkStart w:id="0" w:name="_GoBack"/>
      <w:r>
        <w:rPr>
          <w:rFonts w:ascii="Arial" w:hAnsi="Arial" w:cs="Arial"/>
          <w:caps/>
          <w:color w:val="000000"/>
          <w:spacing w:val="-30"/>
          <w:sz w:val="54"/>
          <w:szCs w:val="54"/>
        </w:rPr>
        <w:t>LAS RATAS INVADEN LA ESCENA DEL CUÁDRUPLE CRIMEN</w:t>
      </w:r>
    </w:p>
    <w:bookmarkEnd w:id="0"/>
    <w:p w14:paraId="134E79C3" w14:textId="77777777" w:rsidR="00437B5C" w:rsidRDefault="00437B5C" w:rsidP="004F30B3">
      <w:pPr>
        <w:pStyle w:val="Ttulo1"/>
        <w:shd w:val="clear" w:color="auto" w:fill="FFFFFF"/>
        <w:spacing w:before="0" w:beforeAutospacing="0" w:after="180" w:afterAutospacing="0" w:line="405" w:lineRule="atLeast"/>
        <w:jc w:val="both"/>
        <w:rPr>
          <w:rFonts w:ascii="Arial" w:hAnsi="Arial" w:cs="Arial"/>
          <w:b w:val="0"/>
          <w:bCs w:val="0"/>
          <w:color w:val="545454"/>
          <w:spacing w:val="-15"/>
          <w:sz w:val="45"/>
          <w:szCs w:val="45"/>
        </w:rPr>
      </w:pPr>
    </w:p>
    <w:p w14:paraId="0A113346" w14:textId="77777777" w:rsidR="00EA76F1" w:rsidRDefault="00EA76F1" w:rsidP="00EA76F1">
      <w:pPr>
        <w:pStyle w:val="Ttulo1"/>
        <w:shd w:val="clear" w:color="auto" w:fill="FFFFFF"/>
        <w:spacing w:before="0" w:beforeAutospacing="0" w:after="180" w:afterAutospacing="0" w:line="405" w:lineRule="atLeast"/>
        <w:rPr>
          <w:rFonts w:ascii="Arial" w:hAnsi="Arial" w:cs="Arial"/>
          <w:b w:val="0"/>
          <w:bCs w:val="0"/>
          <w:color w:val="545454"/>
          <w:spacing w:val="-15"/>
          <w:sz w:val="45"/>
          <w:szCs w:val="45"/>
        </w:rPr>
      </w:pPr>
      <w:r>
        <w:rPr>
          <w:rStyle w:val="Textoennegrita"/>
          <w:rFonts w:ascii="Arial" w:eastAsiaTheme="majorEastAsia" w:hAnsi="Arial" w:cs="Arial"/>
          <w:b/>
          <w:bCs/>
          <w:color w:val="545454"/>
          <w:spacing w:val="-15"/>
          <w:sz w:val="45"/>
          <w:szCs w:val="45"/>
        </w:rPr>
        <w:t>Las ratas invaden la escena del cuádruple crimen</w:t>
      </w:r>
    </w:p>
    <w:p w14:paraId="50E8AD31" w14:textId="77777777" w:rsidR="00EA76F1" w:rsidRDefault="00EA76F1" w:rsidP="00EA76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JAVIER SINAY </w:t>
      </w:r>
      <w:r>
        <w:rPr>
          <w:rFonts w:ascii="Arial" w:hAnsi="Arial" w:cs="Arial"/>
          <w:color w:val="000000"/>
          <w:sz w:val="18"/>
          <w:szCs w:val="18"/>
        </w:rPr>
        <w:t>es periodista. Además de 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Los crímenes de Moisés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Ville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publicó los libros </w:t>
      </w:r>
      <w:r>
        <w:rPr>
          <w:rFonts w:ascii="Arial" w:hAnsi="Arial" w:cs="Arial"/>
          <w:i/>
          <w:iCs/>
          <w:color w:val="000000"/>
          <w:sz w:val="18"/>
          <w:szCs w:val="18"/>
        </w:rPr>
        <w:t>Sangre joven</w:t>
      </w:r>
      <w:r>
        <w:rPr>
          <w:rFonts w:ascii="Arial" w:hAnsi="Arial" w:cs="Arial"/>
          <w:color w:val="000000"/>
          <w:sz w:val="18"/>
          <w:szCs w:val="18"/>
        </w:rPr>
        <w:t>. </w:t>
      </w:r>
      <w:r>
        <w:rPr>
          <w:rFonts w:ascii="Arial" w:hAnsi="Arial" w:cs="Arial"/>
          <w:i/>
          <w:iCs/>
          <w:color w:val="000000"/>
          <w:sz w:val="18"/>
          <w:szCs w:val="18"/>
        </w:rPr>
        <w:t>Matar y morir antes de la adultez </w:t>
      </w:r>
      <w:r>
        <w:rPr>
          <w:rFonts w:ascii="Arial" w:hAnsi="Arial" w:cs="Arial"/>
          <w:color w:val="000000"/>
          <w:sz w:val="18"/>
          <w:szCs w:val="18"/>
        </w:rPr>
        <w:t>(Tusquets, 2009), que mereció el Premio Rodolfo Walsh en la XXIII Semana Negra de Gijón; </w:t>
      </w:r>
      <w:r>
        <w:rPr>
          <w:rFonts w:ascii="Arial" w:hAnsi="Arial" w:cs="Arial"/>
          <w:i/>
          <w:iCs/>
          <w:color w:val="000000"/>
          <w:sz w:val="18"/>
          <w:szCs w:val="18"/>
        </w:rPr>
        <w:t>100 crímenes resonantes que conmovieron a la sociedad argentina </w:t>
      </w:r>
      <w:r>
        <w:rPr>
          <w:rFonts w:ascii="Arial" w:hAnsi="Arial" w:cs="Arial"/>
          <w:color w:val="000000"/>
          <w:sz w:val="18"/>
          <w:szCs w:val="18"/>
        </w:rPr>
        <w:t xml:space="preserve">(Planeta, 2010, en coautoría con Norberto Chab); y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nouvelle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El que a hierro mata </w:t>
      </w:r>
      <w:r>
        <w:rPr>
          <w:rFonts w:ascii="Arial" w:hAnsi="Arial" w:cs="Arial"/>
          <w:color w:val="000000"/>
          <w:sz w:val="18"/>
          <w:szCs w:val="18"/>
        </w:rPr>
        <w:t>(sigueleyendo.es, 2011).</w:t>
      </w:r>
    </w:p>
    <w:p w14:paraId="09490373" w14:textId="77777777" w:rsidR="00EA76F1" w:rsidRDefault="00EA76F1" w:rsidP="00EA76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Sus textos han aparecido en los diarios </w:t>
      </w:r>
      <w:r>
        <w:rPr>
          <w:rFonts w:ascii="Arial" w:hAnsi="Arial" w:cs="Arial"/>
          <w:i/>
          <w:iCs/>
          <w:color w:val="000000"/>
          <w:sz w:val="18"/>
          <w:szCs w:val="18"/>
        </w:rPr>
        <w:t>Clarín </w:t>
      </w:r>
      <w:r>
        <w:rPr>
          <w:rFonts w:ascii="Arial" w:hAnsi="Arial" w:cs="Arial"/>
          <w:color w:val="000000"/>
          <w:sz w:val="18"/>
          <w:szCs w:val="18"/>
        </w:rPr>
        <w:t>y </w:t>
      </w:r>
      <w:r>
        <w:rPr>
          <w:rFonts w:ascii="Arial" w:hAnsi="Arial" w:cs="Arial"/>
          <w:i/>
          <w:iCs/>
          <w:color w:val="000000"/>
          <w:sz w:val="18"/>
          <w:szCs w:val="18"/>
        </w:rPr>
        <w:t>Crítica </w:t>
      </w:r>
      <w:r>
        <w:rPr>
          <w:rFonts w:ascii="Arial" w:hAnsi="Arial" w:cs="Arial"/>
          <w:color w:val="000000"/>
          <w:sz w:val="18"/>
          <w:szCs w:val="18"/>
        </w:rPr>
        <w:t>de la Argentina, y en las revistas </w:t>
      </w:r>
      <w:r>
        <w:rPr>
          <w:rFonts w:ascii="Arial" w:hAnsi="Arial" w:cs="Arial"/>
          <w:i/>
          <w:iCs/>
          <w:color w:val="000000"/>
          <w:sz w:val="18"/>
          <w:szCs w:val="18"/>
        </w:rPr>
        <w:t>Rolling Stone</w:t>
      </w:r>
      <w:r>
        <w:rPr>
          <w:rFonts w:ascii="Arial" w:hAnsi="Arial" w:cs="Arial"/>
          <w:color w:val="000000"/>
          <w:sz w:val="18"/>
          <w:szCs w:val="18"/>
        </w:rPr>
        <w:t>, 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Ñ,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Orsai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, El Guardián, Hombre, TXT, Gatopardo y Zona de obras</w:t>
      </w:r>
      <w:r>
        <w:rPr>
          <w:rFonts w:ascii="Arial" w:hAnsi="Arial" w:cs="Arial"/>
          <w:color w:val="000000"/>
          <w:sz w:val="18"/>
          <w:szCs w:val="18"/>
        </w:rPr>
        <w:t>, entre otras; e integró los equipos de producción de los programas de televisión Forenses, Fiscales y Ser Urbano.</w:t>
      </w:r>
    </w:p>
    <w:p w14:paraId="511613AA" w14:textId="77777777" w:rsidR="00EA76F1" w:rsidRDefault="00EA76F1" w:rsidP="00EA76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Ganó tres Premios Perfil a la Excelencia Periodística, un Premio TEA y un premio del Fondo Nacional de las Artes por la revista Estrella de la Argentina, que editó junto a Julián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Gorodischer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Estudió Ciencias de la Comunicación</w:t>
      </w:r>
    </w:p>
    <w:p w14:paraId="16C0469C" w14:textId="62F9A967" w:rsidR="003A5BF3" w:rsidRDefault="003A5BF3" w:rsidP="00EA76F1">
      <w:pPr>
        <w:pStyle w:val="Ttulo1"/>
        <w:shd w:val="clear" w:color="auto" w:fill="FFFFFF"/>
        <w:spacing w:before="0" w:beforeAutospacing="0" w:after="180" w:afterAutospacing="0" w:line="405" w:lineRule="atLeast"/>
        <w:rPr>
          <w:rFonts w:ascii="Arial" w:hAnsi="Arial" w:cs="Arial"/>
          <w:color w:val="000000"/>
          <w:sz w:val="18"/>
          <w:szCs w:val="18"/>
        </w:rPr>
      </w:pPr>
    </w:p>
    <w:sectPr w:rsidR="003A5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2"/>
    <w:rsid w:val="00006A8D"/>
    <w:rsid w:val="000205C5"/>
    <w:rsid w:val="00057A5E"/>
    <w:rsid w:val="00073E92"/>
    <w:rsid w:val="00091450"/>
    <w:rsid w:val="000B1B74"/>
    <w:rsid w:val="000E0E95"/>
    <w:rsid w:val="000E6AD3"/>
    <w:rsid w:val="000F1861"/>
    <w:rsid w:val="001071CF"/>
    <w:rsid w:val="001129D6"/>
    <w:rsid w:val="00132108"/>
    <w:rsid w:val="00146943"/>
    <w:rsid w:val="001B263C"/>
    <w:rsid w:val="002241A8"/>
    <w:rsid w:val="00255A23"/>
    <w:rsid w:val="00255F51"/>
    <w:rsid w:val="0026025A"/>
    <w:rsid w:val="00282489"/>
    <w:rsid w:val="002A1D66"/>
    <w:rsid w:val="002A4897"/>
    <w:rsid w:val="002A6178"/>
    <w:rsid w:val="002C396D"/>
    <w:rsid w:val="002E26B7"/>
    <w:rsid w:val="002F7B8E"/>
    <w:rsid w:val="00312267"/>
    <w:rsid w:val="003344BF"/>
    <w:rsid w:val="003534DA"/>
    <w:rsid w:val="00372710"/>
    <w:rsid w:val="003A5BF3"/>
    <w:rsid w:val="003C15A4"/>
    <w:rsid w:val="0043158A"/>
    <w:rsid w:val="00437B5C"/>
    <w:rsid w:val="00456EA0"/>
    <w:rsid w:val="00495007"/>
    <w:rsid w:val="004D27E8"/>
    <w:rsid w:val="004F30B3"/>
    <w:rsid w:val="00516898"/>
    <w:rsid w:val="005379D3"/>
    <w:rsid w:val="00573A6C"/>
    <w:rsid w:val="005A3133"/>
    <w:rsid w:val="005A78EC"/>
    <w:rsid w:val="005B0D90"/>
    <w:rsid w:val="005D2359"/>
    <w:rsid w:val="005E4725"/>
    <w:rsid w:val="006060D5"/>
    <w:rsid w:val="006071A7"/>
    <w:rsid w:val="00635E6D"/>
    <w:rsid w:val="00664D78"/>
    <w:rsid w:val="006B31AA"/>
    <w:rsid w:val="006E1C65"/>
    <w:rsid w:val="006E54DF"/>
    <w:rsid w:val="00777BB1"/>
    <w:rsid w:val="008D7DBC"/>
    <w:rsid w:val="008F71E4"/>
    <w:rsid w:val="0090334B"/>
    <w:rsid w:val="00961D9E"/>
    <w:rsid w:val="00967B75"/>
    <w:rsid w:val="00975E02"/>
    <w:rsid w:val="009857CC"/>
    <w:rsid w:val="00990AEF"/>
    <w:rsid w:val="009C3B4D"/>
    <w:rsid w:val="00A056BC"/>
    <w:rsid w:val="00A4377D"/>
    <w:rsid w:val="00A8184D"/>
    <w:rsid w:val="00AA387F"/>
    <w:rsid w:val="00AF1F98"/>
    <w:rsid w:val="00AF351A"/>
    <w:rsid w:val="00B05C27"/>
    <w:rsid w:val="00B11206"/>
    <w:rsid w:val="00BB6EED"/>
    <w:rsid w:val="00BF18FD"/>
    <w:rsid w:val="00C044F7"/>
    <w:rsid w:val="00C365C0"/>
    <w:rsid w:val="00C66B5D"/>
    <w:rsid w:val="00C72338"/>
    <w:rsid w:val="00C95BDB"/>
    <w:rsid w:val="00CA298F"/>
    <w:rsid w:val="00CE2D63"/>
    <w:rsid w:val="00D211E7"/>
    <w:rsid w:val="00D257BF"/>
    <w:rsid w:val="00DA279F"/>
    <w:rsid w:val="00DE2A4D"/>
    <w:rsid w:val="00DF3692"/>
    <w:rsid w:val="00E20197"/>
    <w:rsid w:val="00E312FE"/>
    <w:rsid w:val="00E43ACB"/>
    <w:rsid w:val="00E56A08"/>
    <w:rsid w:val="00E9557D"/>
    <w:rsid w:val="00EA76F1"/>
    <w:rsid w:val="00EC6064"/>
    <w:rsid w:val="00ED036E"/>
    <w:rsid w:val="00F528F1"/>
    <w:rsid w:val="00FC5B18"/>
    <w:rsid w:val="00FD7A3A"/>
    <w:rsid w:val="00FE5324"/>
    <w:rsid w:val="00FE675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F91E"/>
  <w15:chartTrackingRefBased/>
  <w15:docId w15:val="{934EE99B-5AD4-4CEB-93F4-3B47C81F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1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3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E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E9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73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07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1F9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0B1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A27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2020-02-21T20:27:00Z</dcterms:created>
  <dcterms:modified xsi:type="dcterms:W3CDTF">2020-02-21T20:27:00Z</dcterms:modified>
</cp:coreProperties>
</file>